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5E1BBE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5E1BBE" w:rsidRDefault="00C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BBE" w:rsidRDefault="005E1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BBE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5E1BBE" w:rsidRDefault="0078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127н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амнестическом синдроме, вызванном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13.12.2012 N 26107)</w:t>
            </w:r>
          </w:p>
          <w:p w:rsidR="005E1BBE" w:rsidRDefault="005E1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5E1BBE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5E1BBE" w:rsidRDefault="0078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5E1BBE" w:rsidRDefault="005E1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5E1BBE" w:rsidRDefault="005E1BB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5E1BBE" w:rsidRDefault="005E1BB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5E1BBE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5E1BBE" w:rsidRDefault="005E1BBE">
      <w:pPr>
        <w:pStyle w:val="ConsPlusNormal"/>
        <w:jc w:val="both"/>
        <w:outlineLvl w:val="0"/>
      </w:pPr>
    </w:p>
    <w:p w:rsidR="005E1BBE" w:rsidRDefault="0078782C">
      <w:pPr>
        <w:pStyle w:val="ConsPlusNormal"/>
        <w:outlineLvl w:val="0"/>
      </w:pPr>
      <w:r>
        <w:t>Зарегистрировано в Минюсте России 13 декабря 2012 г. N 26107</w:t>
      </w:r>
    </w:p>
    <w:p w:rsidR="005E1BBE" w:rsidRDefault="005E1BB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5E1BBE" w:rsidRDefault="005E1BBE">
      <w:pPr>
        <w:pStyle w:val="ConsPlusNormal"/>
      </w:pPr>
    </w:p>
    <w:p w:rsidR="005E1BBE" w:rsidRDefault="007878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5E1BBE" w:rsidRDefault="005E1BBE">
      <w:pPr>
        <w:pStyle w:val="ConsPlusNormal"/>
        <w:jc w:val="center"/>
        <w:rPr>
          <w:b/>
          <w:bCs/>
          <w:sz w:val="16"/>
          <w:szCs w:val="16"/>
        </w:rPr>
      </w:pPr>
    </w:p>
    <w:p w:rsidR="005E1BBE" w:rsidRDefault="007878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5E1BBE" w:rsidRDefault="007878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127н</w:t>
      </w:r>
    </w:p>
    <w:p w:rsidR="005E1BBE" w:rsidRDefault="005E1BBE">
      <w:pPr>
        <w:pStyle w:val="ConsPlusNormal"/>
        <w:jc w:val="center"/>
        <w:rPr>
          <w:b/>
          <w:bCs/>
          <w:sz w:val="16"/>
          <w:szCs w:val="16"/>
        </w:rPr>
      </w:pPr>
    </w:p>
    <w:p w:rsidR="005E1BBE" w:rsidRDefault="007878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5E1BBE" w:rsidRDefault="007878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АМНЕСТИЧЕСКОМ</w:t>
      </w:r>
    </w:p>
    <w:p w:rsidR="005E1BBE" w:rsidRDefault="007878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СИНДРОМЕ, ВЫЗВАННОМ УПОТРЕБЛЕНИЕМ ПСИХОАКТИВНЫХ ВЕЩЕСТВ</w:t>
      </w:r>
    </w:p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E1BBE" w:rsidRDefault="0078782C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амнестическом синдроме, вызванном употреблением психоактивных веществ, согласно приложению.</w:t>
      </w:r>
    </w:p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jc w:val="right"/>
      </w:pPr>
      <w:r>
        <w:t>Министр</w:t>
      </w:r>
    </w:p>
    <w:p w:rsidR="005E1BBE" w:rsidRDefault="0078782C">
      <w:pPr>
        <w:pStyle w:val="ConsPlusNormal"/>
        <w:jc w:val="right"/>
      </w:pPr>
      <w:r>
        <w:t>В.И.СКВОРЦОВА</w:t>
      </w:r>
    </w:p>
    <w:p w:rsidR="005E1BBE" w:rsidRDefault="005E1BBE">
      <w:pPr>
        <w:pStyle w:val="ConsPlusNormal"/>
        <w:jc w:val="right"/>
      </w:pPr>
    </w:p>
    <w:p w:rsidR="005E1BBE" w:rsidRDefault="005E1BBE">
      <w:pPr>
        <w:pStyle w:val="ConsPlusNormal"/>
        <w:jc w:val="right"/>
      </w:pPr>
    </w:p>
    <w:p w:rsidR="005E1BBE" w:rsidRDefault="005E1BBE">
      <w:pPr>
        <w:pStyle w:val="ConsPlusNormal"/>
        <w:jc w:val="right"/>
      </w:pPr>
    </w:p>
    <w:p w:rsidR="005E1BBE" w:rsidRDefault="005E1BBE">
      <w:pPr>
        <w:pStyle w:val="ConsPlusNormal"/>
        <w:jc w:val="right"/>
      </w:pPr>
    </w:p>
    <w:p w:rsidR="005E1BBE" w:rsidRDefault="005E1BBE">
      <w:pPr>
        <w:pStyle w:val="ConsPlusNormal"/>
        <w:jc w:val="right"/>
      </w:pPr>
    </w:p>
    <w:p w:rsidR="005E1BBE" w:rsidRDefault="0078782C">
      <w:pPr>
        <w:pStyle w:val="ConsPlusNormal"/>
        <w:jc w:val="right"/>
        <w:outlineLvl w:val="0"/>
      </w:pPr>
      <w:r>
        <w:t>Приложение</w:t>
      </w:r>
    </w:p>
    <w:p w:rsidR="005E1BBE" w:rsidRDefault="0078782C">
      <w:pPr>
        <w:pStyle w:val="ConsPlusNormal"/>
        <w:jc w:val="right"/>
      </w:pPr>
      <w:r>
        <w:t>к приказу Министерства здравоохранения</w:t>
      </w:r>
    </w:p>
    <w:p w:rsidR="005E1BBE" w:rsidRDefault="0078782C">
      <w:pPr>
        <w:pStyle w:val="ConsPlusNormal"/>
        <w:jc w:val="right"/>
      </w:pPr>
      <w:r>
        <w:t>Российской Федерации</w:t>
      </w:r>
    </w:p>
    <w:p w:rsidR="005E1BBE" w:rsidRDefault="0078782C">
      <w:pPr>
        <w:pStyle w:val="ConsPlusNormal"/>
        <w:jc w:val="right"/>
      </w:pPr>
      <w:r>
        <w:t>от 4 сентября 2012 г. N 127н</w:t>
      </w:r>
    </w:p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jc w:val="center"/>
        <w:rPr>
          <w:b/>
          <w:bCs/>
          <w:sz w:val="16"/>
          <w:szCs w:val="16"/>
        </w:rPr>
      </w:pPr>
      <w:bookmarkStart w:id="0" w:name="Par28"/>
      <w:bookmarkEnd w:id="0"/>
      <w:r>
        <w:rPr>
          <w:b/>
          <w:bCs/>
          <w:sz w:val="16"/>
          <w:szCs w:val="16"/>
        </w:rPr>
        <w:t>СТАНДАРТ</w:t>
      </w:r>
    </w:p>
    <w:p w:rsidR="005E1BBE" w:rsidRDefault="007878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АМНЕСТИЧЕСКОМ</w:t>
      </w:r>
    </w:p>
    <w:p w:rsidR="005E1BBE" w:rsidRDefault="0078782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СИНДРОМЕ, ВЫЗВАННОМ УПОТРЕБЛЕНИЕМ ПСИХОАКТИВНЫХ ВЕЩЕСТВ</w:t>
      </w:r>
    </w:p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5E1BBE" w:rsidRDefault="0078782C">
      <w:pPr>
        <w:pStyle w:val="ConsPlusNormal"/>
        <w:ind w:firstLine="540"/>
        <w:jc w:val="both"/>
      </w:pPr>
      <w:r>
        <w:t>Пол: все</w:t>
      </w:r>
    </w:p>
    <w:p w:rsidR="005E1BBE" w:rsidRDefault="0078782C">
      <w:pPr>
        <w:pStyle w:val="ConsPlusNormal"/>
        <w:ind w:firstLine="540"/>
        <w:jc w:val="both"/>
      </w:pPr>
      <w:r>
        <w:t>Фаза: любая</w:t>
      </w:r>
    </w:p>
    <w:p w:rsidR="005E1BBE" w:rsidRDefault="0078782C">
      <w:pPr>
        <w:pStyle w:val="ConsPlusNormal"/>
        <w:ind w:firstLine="540"/>
        <w:jc w:val="both"/>
      </w:pPr>
      <w:r>
        <w:t>Стадия: любая</w:t>
      </w:r>
    </w:p>
    <w:p w:rsidR="005E1BBE" w:rsidRDefault="0078782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5E1BBE" w:rsidRDefault="0078782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5E1BBE" w:rsidRDefault="0078782C">
      <w:pPr>
        <w:pStyle w:val="ConsPlusNormal"/>
        <w:ind w:firstLine="540"/>
        <w:jc w:val="both"/>
      </w:pPr>
      <w:r>
        <w:t>Условия оказания медицинской помощи: в дневном стационаре, стационарно</w:t>
      </w:r>
    </w:p>
    <w:p w:rsidR="005E1BBE" w:rsidRDefault="0078782C">
      <w:pPr>
        <w:pStyle w:val="ConsPlusNormal"/>
        <w:ind w:firstLine="540"/>
        <w:jc w:val="both"/>
      </w:pPr>
      <w:r>
        <w:t>Форма оказания медицинской помощи: неотложная, плановая</w:t>
      </w:r>
    </w:p>
    <w:p w:rsidR="005E1BBE" w:rsidRDefault="0078782C">
      <w:pPr>
        <w:pStyle w:val="ConsPlusNormal"/>
        <w:ind w:firstLine="540"/>
        <w:jc w:val="both"/>
      </w:pPr>
      <w:r>
        <w:t>Средние сроки лечения (количество дней): 90</w:t>
      </w:r>
    </w:p>
    <w:p w:rsidR="005E1BBE" w:rsidRDefault="0078782C">
      <w:pPr>
        <w:pStyle w:val="ConsPlusNormal"/>
        <w:ind w:firstLine="540"/>
        <w:jc w:val="both"/>
      </w:pPr>
      <w:r>
        <w:t xml:space="preserve">Код по МКБ X </w:t>
      </w:r>
      <w:hyperlink w:anchor="Par762" w:tooltip="Ссылка на текущий документ" w:history="1">
        <w:r>
          <w:rPr>
            <w:color w:val="0000FF"/>
          </w:rPr>
          <w:t>&lt;*&gt;</w:t>
        </w:r>
      </w:hyperlink>
    </w:p>
    <w:p w:rsidR="005E1BBE" w:rsidRDefault="0078782C">
      <w:pPr>
        <w:pStyle w:val="ConsPlusNormal"/>
        <w:ind w:firstLine="540"/>
        <w:jc w:val="both"/>
      </w:pPr>
      <w:r>
        <w:t>Нозологические единицы</w:t>
      </w:r>
    </w:p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F10.6    Амнестический синдром, вызванный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употреблением алкоголя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F11.6    Амнестический синдром, вызванный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употреблением опиоидов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F12.6    Амнестический синдром, вызванный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употреблением каннабиоидов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F13.6    Амнестический синдром, вызванный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употреблением седативных или снотворных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веществ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F14.6    Амнестический синдром, вызванный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употреблением кокаина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F15.6    Амнестический синдром, вызванный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употреблением других стимуляторов,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включая кофеин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F16.6    Амнестический синдром, вызванный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употреблением галлюциногенов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F18.6    Амнестический синдром, вызванный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употреблением летучих растворителей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F19.6    Амнестический синдром, вызванный</w:t>
      </w:r>
    </w:p>
    <w:p w:rsidR="005E1BBE" w:rsidRDefault="0078782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одновременным употреблением нескольких</w:t>
      </w:r>
    </w:p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5E1BBE" w:rsidRDefault="005E1BB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96"/>
        <w:gridCol w:w="4346"/>
        <w:gridCol w:w="1802"/>
        <w:gridCol w:w="1590"/>
      </w:tblGrid>
      <w:tr w:rsidR="005E1BBE">
        <w:trPr>
          <w:tblCellSpacing w:w="5" w:type="nil"/>
        </w:trPr>
        <w:tc>
          <w:tcPr>
            <w:tcW w:w="9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      </w:t>
            </w:r>
          </w:p>
        </w:tc>
      </w:tr>
      <w:tr w:rsidR="005E1BBE">
        <w:trPr>
          <w:trHeight w:val="90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8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анестезиологом-реаниматологом первичный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дерматовенеролога первичный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невролога первичный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 первичный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B01.035.009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 подросткового первичный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B01.036.001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психиатра-нарколога первичный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терапевта первичный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94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A09.05.211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крови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0,03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A09.07.005.001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с помощью тест-полоски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реакции Вассермана (RW)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A12.06.042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антител к психоактивным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веществам в крови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54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(IgM,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IgG) к вирусному гепатиту C (Hepatitis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C virus) в крови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антигена к вирусу гепатита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B (HBsAg Hepatitis B virus) в крови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антител классов M, G (IgM,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IgG) к вирусу иммунодефицита человека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ВИЧ-1 (Human immunodeficiency virus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HIV1) в крови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54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A26.08.001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слизи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пленок с миндалин на палочку дифтерии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(Corinebacterium diphtheriae)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кала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возбудителя дизентерии (Shigella spp.)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54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A26.19.002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кала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тифо-паратифозные микроорганизмы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(Salmonella typhi)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A26.19.003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кала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сальмонеллы (Salmonella spp.)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A26.19.004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Бактериологическое исследование кала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иерсинии (Yersinia spp.)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94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органов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(комплексное)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Эхоэнцефалография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A05.10.004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Расшифровка, описание и интерпретация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электрокардиографических данных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Электроэнцефалография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A05.23.008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Видеомониторинг электроэнцефалограммы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A06.03.005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всего черепа, в одной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или более проекциях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A06.09.006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Флюорография легких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Описание и интерпретация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рентгенографических изображений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</w:tbl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ind w:firstLine="540"/>
        <w:jc w:val="both"/>
      </w:pPr>
      <w:r>
        <w:t>--------------------------------</w:t>
      </w:r>
    </w:p>
    <w:p w:rsidR="005E1BBE" w:rsidRDefault="0078782C">
      <w:pPr>
        <w:pStyle w:val="ConsPlusNormal"/>
        <w:ind w:firstLine="540"/>
        <w:jc w:val="both"/>
      </w:pPr>
      <w:bookmarkStart w:id="1" w:name="Par187"/>
      <w:bookmarkEnd w:id="1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5E1BBE" w:rsidRDefault="005E1BB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96"/>
        <w:gridCol w:w="4346"/>
        <w:gridCol w:w="1802"/>
        <w:gridCol w:w="1590"/>
      </w:tblGrid>
      <w:tr w:rsidR="005E1BBE">
        <w:trPr>
          <w:tblCellSpacing w:w="5" w:type="nil"/>
        </w:trPr>
        <w:tc>
          <w:tcPr>
            <w:tcW w:w="9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B01.001.001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акушера-гинеколога первичный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B01.001.002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акушера-гинеколога повторный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анестезиологом-реаниматологом первичный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анестезиологом-реаниматологом повторный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B01.003.003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врачом-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дерматовенеролога первичный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B01.008.002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дерматовенеролога повторный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B01.014.001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инфекциониста первичный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B01.014.002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инфекциониста повторный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невролога первичный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B01.023.002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невролога повторный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B01.028.001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оториноларинголога первичный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B01.028.002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оториноларинголога повторный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B01.034.001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психотерапевта первичный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B01.034.002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психотерапевта повторный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 повторный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B01.035.010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психиатра подросткового повторный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B01.036.005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Ежедневный осмотр врачом-психиатром-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наркологом с наблюдением и уходом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и младшего медицинского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персонала в отделении стационара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терапевта первичный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терапевта повторный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B01.054.001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врача-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физиотерапевта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94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Наблюдение и уход за пациентом медицинским работником со средним и начальным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медицинским образованием                                                 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E1BBE">
        <w:trPr>
          <w:trHeight w:val="54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пациентом, находящимся в отделении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интенсивной терапии и реанимации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5E1BBE">
        <w:trPr>
          <w:trHeight w:val="54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пациентом, находящимся на искусственной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вентиляции легких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B02.003.003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фиксированным пациентом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B02.003.004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пациентом в критическом состоянии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B02.036.001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сестринского ухода при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лечении алкогольной зависимости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B03.003.005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реанимационного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пациента     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5E1BBE">
        <w:trPr>
          <w:tblCellSpacing w:w="5" w:type="nil"/>
        </w:trPr>
        <w:tc>
          <w:tcPr>
            <w:tcW w:w="94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A09.05.211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уровня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крови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A09.07.005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A09.07.005.001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слюне с помощью тест-полоски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A09.28.020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Тест на кровь в моче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A09.28.055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моче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A09.28.055.001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Определение наличия психоактивных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 в моче с помощью тест-полоски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A12.06.042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Исследование антител к психоактивным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веществам в крови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0,0001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5E1BBE">
        <w:trPr>
          <w:tblCellSpacing w:w="5" w:type="nil"/>
        </w:trPr>
        <w:tc>
          <w:tcPr>
            <w:tcW w:w="94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A04.16.001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Ультразвуковое исследование органов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(комплексное)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A04.23.002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Эхоэнцефалография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A05.10.004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Расшифровка, описание и интерпретация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электрокардиографических данных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Электроэнцефалография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A05.23.008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Видеомониторинг электроэнцефалограммы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A06.03.005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Рентгенография всего черепа в одной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более проекциях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A06.09.006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Флюорография легких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Описание и интерпретация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рентгенографических изображений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94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Хирургические, эндоскопические, эндоваскулярные и другие методы лечения, требующие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анестезиологического и/или реаниматологического сопровождения            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B01.003.004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Анестезиологическое пособие (включая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раннее послеоперационное ведение)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     </w:t>
            </w:r>
          </w:p>
        </w:tc>
      </w:tr>
      <w:tr w:rsidR="005E1BBE">
        <w:trPr>
          <w:tblCellSpacing w:w="5" w:type="nil"/>
        </w:trPr>
        <w:tc>
          <w:tcPr>
            <w:tcW w:w="94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Немедикаментозные методы профилактики, лечения и медицинской реабилитации           </w:t>
            </w:r>
          </w:p>
        </w:tc>
      </w:tr>
      <w:tr w:rsidR="005E1BBE">
        <w:trPr>
          <w:trHeight w:val="72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медицинской услуги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Трудотерапия 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A13.29.003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Психологическая адаптация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A13.29.004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Терапия средой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A13.29.005.001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Арттерапия   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A13.29.006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Психологическое консультирование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A13.29.006.003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Семейное психологическое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консультирование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A13.29.007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Психологическая коррекция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A13.29.007.001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Индивидуальная психологическая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коррекция    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A13.29.008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Психотерапия 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A13.29.011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Социально-реабилитационная работа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           </w:t>
            </w:r>
          </w:p>
        </w:tc>
      </w:tr>
      <w:tr w:rsidR="005E1BBE">
        <w:trPr>
          <w:trHeight w:val="54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A17.23.001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Электрофорез лекарственных препаратов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 заболеваниях центральной нервной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и головного мозга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rHeight w:val="54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A17.23.002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Дарсонвализация местная при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заболеваниях центральной нервной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и головного мозга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A17.24.002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Гальванотерапия при заболеваниях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периферической нервной системы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A17.24.003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Токи Бернара при заболеваниях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периферической нервной системы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rHeight w:val="54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A17.24.004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Дарсонвализация местная при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заболеваниях периферической нервной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     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rHeight w:val="54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A17.24.005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Электрофорез лекарственных препаратов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 заболеваниях периферической нервной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     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A17.29.002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Электросон   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A17.30.017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Воздействие электрическим полем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ультравысокой частоты (ЭП УВЧ)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  <w:tr w:rsidR="005E1BBE">
        <w:trPr>
          <w:trHeight w:val="360"/>
          <w:tblCellSpacing w:w="5" w:type="nil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A17.30.019    </w:t>
            </w:r>
          </w:p>
        </w:tc>
        <w:tc>
          <w:tcPr>
            <w:tcW w:w="4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Воздействие переменным магнитным полем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(ПеМП)                                 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     </w:t>
            </w:r>
          </w:p>
        </w:tc>
      </w:tr>
    </w:tbl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E1BBE" w:rsidRDefault="005E1BBE">
      <w:pPr>
        <w:pStyle w:val="ConsPlusNormal"/>
        <w:ind w:firstLine="540"/>
        <w:jc w:val="both"/>
        <w:outlineLvl w:val="1"/>
        <w:sectPr w:rsidR="005E1BBE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5E1BBE" w:rsidRDefault="005E1BB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53"/>
        <w:gridCol w:w="2925"/>
        <w:gridCol w:w="2925"/>
        <w:gridCol w:w="1872"/>
        <w:gridCol w:w="1287"/>
        <w:gridCol w:w="1404"/>
        <w:gridCol w:w="1755"/>
      </w:tblGrid>
      <w:tr w:rsidR="005E1BBE">
        <w:trPr>
          <w:tblCellSpacing w:w="5" w:type="nil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Код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Анатомо-терапевтическо-</w:t>
            </w:r>
            <w:r>
              <w:rPr>
                <w:rFonts w:ascii="Courier New" w:hAnsi="Courier New" w:cs="Courier New"/>
              </w:rPr>
              <w:br/>
              <w:t xml:space="preserve">      химическая       </w:t>
            </w:r>
            <w:r>
              <w:rPr>
                <w:rFonts w:ascii="Courier New" w:hAnsi="Courier New" w:cs="Courier New"/>
              </w:rPr>
              <w:br/>
              <w:t xml:space="preserve">     классификация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Наименование      </w:t>
            </w:r>
            <w:r>
              <w:rPr>
                <w:rFonts w:ascii="Courier New" w:hAnsi="Courier New" w:cs="Courier New"/>
              </w:rPr>
              <w:br/>
              <w:t xml:space="preserve">    лекарственного     </w:t>
            </w:r>
            <w:r>
              <w:rPr>
                <w:rFonts w:ascii="Courier New" w:hAnsi="Courier New" w:cs="Courier New"/>
              </w:rPr>
              <w:br/>
              <w:t xml:space="preserve">    препарата </w:t>
            </w:r>
            <w:hyperlink w:anchor="Par763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Единицы </w:t>
            </w:r>
            <w:r>
              <w:rPr>
                <w:rFonts w:ascii="Courier New" w:hAnsi="Courier New" w:cs="Courier New"/>
              </w:rPr>
              <w:br/>
              <w:t>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ССД </w:t>
            </w:r>
            <w:hyperlink w:anchor="Par764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&lt;***&gt;</w:t>
              </w:r>
            </w:hyperlink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СКД </w:t>
            </w:r>
            <w:hyperlink w:anchor="Par765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&lt;****&gt;</w:t>
              </w:r>
            </w:hyperlink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A05BA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 для лечения  </w:t>
            </w:r>
            <w:r>
              <w:rPr>
                <w:rFonts w:ascii="Courier New" w:hAnsi="Courier New" w:cs="Courier New"/>
              </w:rPr>
              <w:br/>
              <w:t xml:space="preserve">заболеваний печени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Орнитин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200000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Глицирризиновая        </w:t>
            </w:r>
            <w:r>
              <w:rPr>
                <w:rFonts w:ascii="Courier New" w:hAnsi="Courier New" w:cs="Courier New"/>
              </w:rPr>
              <w:br/>
              <w:t xml:space="preserve">кислота + Фосфолипиды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130 + 600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3640 + 16800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A06AB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Контактные слабительные</w:t>
            </w:r>
            <w:r>
              <w:rPr>
                <w:rFonts w:ascii="Courier New" w:hAnsi="Courier New" w:cs="Courier New"/>
              </w:rPr>
              <w:br/>
              <w:t xml:space="preserve">средства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Сеннозиды A и B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490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Бисакодил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A11DA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B1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Кокарбоксилаза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Сульбутиамин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Бенфотиамин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Тиамин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A11GA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кислота   </w:t>
            </w:r>
            <w:r>
              <w:rPr>
                <w:rFonts w:ascii="Courier New" w:hAnsi="Courier New" w:cs="Courier New"/>
              </w:rPr>
              <w:br/>
              <w:t xml:space="preserve">(витамин C)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кислота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A11HA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витаминные      </w:t>
            </w:r>
            <w:r>
              <w:rPr>
                <w:rFonts w:ascii="Courier New" w:hAnsi="Courier New" w:cs="Courier New"/>
              </w:rPr>
              <w:br/>
              <w:t xml:space="preserve">препараты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Пиридоксин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E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Рибофлавин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A12CX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минеральные     </w:t>
            </w:r>
            <w:r>
              <w:rPr>
                <w:rFonts w:ascii="Courier New" w:hAnsi="Courier New" w:cs="Courier New"/>
              </w:rPr>
              <w:br/>
              <w:t xml:space="preserve">вещества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        </w:t>
            </w:r>
            <w:r>
              <w:rPr>
                <w:rFonts w:ascii="Courier New" w:hAnsi="Courier New" w:cs="Courier New"/>
              </w:rPr>
              <w:br/>
              <w:t xml:space="preserve">аспарагинат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A16AA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и их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Карнитин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Левокарнитин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Адеметионин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11200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Глутаминовая кислота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A16AX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препараты для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лечения заболеваний    </w:t>
            </w:r>
            <w:r>
              <w:rPr>
                <w:rFonts w:ascii="Courier New" w:hAnsi="Courier New" w:cs="Courier New"/>
              </w:rPr>
              <w:br/>
              <w:t xml:space="preserve">желудочно-кишечного    </w:t>
            </w:r>
            <w:r>
              <w:rPr>
                <w:rFonts w:ascii="Courier New" w:hAnsi="Courier New" w:cs="Courier New"/>
              </w:rPr>
              <w:br/>
              <w:t xml:space="preserve">тракта и нарушений     </w:t>
            </w:r>
            <w:r>
              <w:rPr>
                <w:rFonts w:ascii="Courier New" w:hAnsi="Courier New" w:cs="Courier New"/>
              </w:rPr>
              <w:br/>
              <w:t xml:space="preserve">обмена веществ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Тиоктовая кислота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12600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B03BB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и ее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B05AA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Кровезаменители и      </w:t>
            </w:r>
            <w:r>
              <w:rPr>
                <w:rFonts w:ascii="Courier New" w:hAnsi="Courier New" w:cs="Courier New"/>
              </w:rPr>
              <w:br/>
              <w:t xml:space="preserve">препараты плазмы крови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Декстран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B05BB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Растворы, влияющие на  </w:t>
            </w:r>
            <w:r>
              <w:rPr>
                <w:rFonts w:ascii="Courier New" w:hAnsi="Courier New" w:cs="Courier New"/>
              </w:rPr>
              <w:br/>
              <w:t xml:space="preserve">водно-электролитный    </w:t>
            </w:r>
            <w:r>
              <w:rPr>
                <w:rFonts w:ascii="Courier New" w:hAnsi="Courier New" w:cs="Courier New"/>
              </w:rPr>
              <w:br/>
              <w:t xml:space="preserve">баланс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+ Натрия  </w:t>
            </w:r>
            <w:r>
              <w:rPr>
                <w:rFonts w:ascii="Courier New" w:hAnsi="Courier New" w:cs="Courier New"/>
              </w:rPr>
              <w:br/>
              <w:t xml:space="preserve">ацетат + Натрия хлорид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Стерофундин            </w:t>
            </w:r>
            <w:r>
              <w:rPr>
                <w:rFonts w:ascii="Courier New" w:hAnsi="Courier New" w:cs="Courier New"/>
              </w:rPr>
              <w:br/>
              <w:t xml:space="preserve">изотонический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B05CX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ирригационные   </w:t>
            </w:r>
            <w:r>
              <w:rPr>
                <w:rFonts w:ascii="Courier New" w:hAnsi="Courier New" w:cs="Courier New"/>
              </w:rPr>
              <w:br/>
              <w:t xml:space="preserve">растворы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Декстроза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B05XA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 электролитов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Кальция хлорид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Магния сульфат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хлорид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C01EB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препараты для 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 </w:t>
            </w:r>
            <w:r>
              <w:rPr>
                <w:rFonts w:ascii="Courier New" w:hAnsi="Courier New" w:cs="Courier New"/>
              </w:rPr>
              <w:br/>
              <w:t xml:space="preserve">сердца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оротат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D08AX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антисептики и   </w:t>
            </w:r>
            <w:r>
              <w:rPr>
                <w:rFonts w:ascii="Courier New" w:hAnsi="Courier New" w:cs="Courier New"/>
              </w:rPr>
              <w:br/>
              <w:t xml:space="preserve">дезинфицирующие        </w:t>
            </w:r>
            <w:r>
              <w:rPr>
                <w:rFonts w:ascii="Courier New" w:hAnsi="Courier New" w:cs="Courier New"/>
              </w:rPr>
              <w:br/>
              <w:t xml:space="preserve">средства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Бриллиантовый зеленый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Водорода пероксид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Этанол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G01AX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Прочие противомикробные</w:t>
            </w:r>
            <w:r>
              <w:rPr>
                <w:rFonts w:ascii="Courier New" w:hAnsi="Courier New" w:cs="Courier New"/>
              </w:rPr>
              <w:br/>
              <w:t>препараты и антисептики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Фуразолидон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H02AB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Глюкокортикоиды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Преднизолон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Гидрокортизон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M01AB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уксусной   </w:t>
            </w:r>
            <w:r>
              <w:rPr>
                <w:rFonts w:ascii="Courier New" w:hAnsi="Courier New" w:cs="Courier New"/>
              </w:rPr>
              <w:br/>
              <w:t xml:space="preserve">кислоты и родственные  </w:t>
            </w:r>
            <w:r>
              <w:rPr>
                <w:rFonts w:ascii="Courier New" w:hAnsi="Courier New" w:cs="Courier New"/>
              </w:rPr>
              <w:br/>
              <w:t xml:space="preserve">соединения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Диклофенак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Индометацин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1125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N03AA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Барбитураты и их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Фенобарбитал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N03AF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карбоксамида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Окскарбазепин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Карбамазепин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N03AG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жирных     </w:t>
            </w:r>
            <w:r>
              <w:rPr>
                <w:rFonts w:ascii="Courier New" w:hAnsi="Courier New" w:cs="Courier New"/>
              </w:rPr>
              <w:br/>
              <w:t xml:space="preserve">кислот  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Вальпроевая кислота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Гамма-аминомасляная    </w:t>
            </w:r>
            <w:r>
              <w:rPr>
                <w:rFonts w:ascii="Courier New" w:hAnsi="Courier New" w:cs="Courier New"/>
              </w:rPr>
              <w:br/>
              <w:t xml:space="preserve">кислота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3750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112500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N05AC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Пиперидиновые          </w:t>
            </w:r>
            <w:r>
              <w:rPr>
                <w:rFonts w:ascii="Courier New" w:hAnsi="Courier New" w:cs="Courier New"/>
              </w:rPr>
              <w:br/>
              <w:t>производные фенотиазина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Тиоридазин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Перициазин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N05AX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                </w:t>
            </w:r>
            <w:r>
              <w:rPr>
                <w:rFonts w:ascii="Courier New" w:hAnsi="Courier New" w:cs="Courier New"/>
              </w:rPr>
              <w:br/>
              <w:t xml:space="preserve">антипсихотические      </w:t>
            </w:r>
            <w:r>
              <w:rPr>
                <w:rFonts w:ascii="Courier New" w:hAnsi="Courier New" w:cs="Courier New"/>
              </w:rPr>
              <w:br/>
              <w:t xml:space="preserve">средства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Рисперидон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84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N05BA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Бромдигидрохлорфенилбе-</w:t>
            </w:r>
            <w:r>
              <w:rPr>
                <w:rFonts w:ascii="Courier New" w:hAnsi="Courier New" w:cs="Courier New"/>
              </w:rPr>
              <w:br/>
              <w:t xml:space="preserve">нзодиазепин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Диазепам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Оксазепам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Лоразепам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Хлордиазепоксид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Медазепам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Алпразолам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Тофизопам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2250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дифенилметана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Гидроксизин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N05CD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Мидазолам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3,5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Нитразепам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N05CF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Бензодиазепиноподобные </w:t>
            </w:r>
            <w:r>
              <w:rPr>
                <w:rFonts w:ascii="Courier New" w:hAnsi="Courier New" w:cs="Courier New"/>
              </w:rPr>
              <w:br/>
              <w:t xml:space="preserve">средства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Зопиклон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Золпидем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N06AB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Селективные ингибиторы </w:t>
            </w:r>
            <w:r>
              <w:rPr>
                <w:rFonts w:ascii="Courier New" w:hAnsi="Courier New" w:cs="Courier New"/>
              </w:rPr>
              <w:br/>
              <w:t xml:space="preserve">обратного захвата      </w:t>
            </w:r>
            <w:r>
              <w:rPr>
                <w:rFonts w:ascii="Courier New" w:hAnsi="Courier New" w:cs="Courier New"/>
              </w:rPr>
              <w:br/>
              <w:t xml:space="preserve">серотонина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Пароксетин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Сертралин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Флуоксетин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Циталопрам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560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Флувоксамин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Эсциталопрам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N06AX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антидепрессанты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Пирлиндол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Миансерин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Тразодон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Миртазапин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Венлафаксин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Милнаципран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Пипофезин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N06BC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ксантина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Кофеин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N06BX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Другие психостимуляторы</w:t>
            </w:r>
            <w:r>
              <w:rPr>
                <w:rFonts w:ascii="Courier New" w:hAnsi="Courier New" w:cs="Courier New"/>
              </w:rPr>
              <w:br/>
              <w:t xml:space="preserve">и ноотропные препараты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0,7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Гопантеновая кислота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Деанола ацеглумат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Никотиноил гамма-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аминомасляная кислота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Ацетилкарнитин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Идебенон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Глицин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21000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Винпоцетин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Пирацетам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36000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N-карбамоилметил-4-    </w:t>
            </w:r>
            <w:r>
              <w:rPr>
                <w:rFonts w:ascii="Courier New" w:hAnsi="Courier New" w:cs="Courier New"/>
              </w:rPr>
              <w:br/>
              <w:t xml:space="preserve">фенил-2-пирролидон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N07BB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Препараты, применяемые </w:t>
            </w:r>
            <w:r>
              <w:rPr>
                <w:rFonts w:ascii="Courier New" w:hAnsi="Courier New" w:cs="Courier New"/>
              </w:rPr>
              <w:br/>
              <w:t xml:space="preserve">при алкогольной        </w:t>
            </w:r>
            <w:r>
              <w:rPr>
                <w:rFonts w:ascii="Courier New" w:hAnsi="Courier New" w:cs="Courier New"/>
              </w:rPr>
              <w:br/>
              <w:t xml:space="preserve">зависимости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Метадоксин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Дисульфирам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Налтрексон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Налтрексон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380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380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P01AB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</w:t>
            </w:r>
            <w:r>
              <w:rPr>
                <w:rFonts w:ascii="Courier New" w:hAnsi="Courier New" w:cs="Courier New"/>
              </w:rPr>
              <w:br/>
              <w:t xml:space="preserve">нитроимидазола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Метронидазол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10500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Антидоты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тиосульфат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Налоксон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Димеркаптопропансульфо-</w:t>
            </w:r>
            <w:r>
              <w:rPr>
                <w:rFonts w:ascii="Courier New" w:hAnsi="Courier New" w:cs="Courier New"/>
              </w:rPr>
              <w:br/>
              <w:t xml:space="preserve">нат натрия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Флумазенил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V03AX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лечебные        </w:t>
            </w:r>
            <w:r>
              <w:rPr>
                <w:rFonts w:ascii="Courier New" w:hAnsi="Courier New" w:cs="Courier New"/>
              </w:rPr>
              <w:br/>
              <w:t xml:space="preserve">средства             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Диметилоксобутилфосфон-</w:t>
            </w:r>
            <w:r>
              <w:rPr>
                <w:rFonts w:ascii="Courier New" w:hAnsi="Courier New" w:cs="Courier New"/>
              </w:rPr>
              <w:br/>
              <w:t xml:space="preserve">илдиметилат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 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Цианамид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72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1512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V06DE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Аминокислоты, углеводы,</w:t>
            </w:r>
            <w:r>
              <w:rPr>
                <w:rFonts w:ascii="Courier New" w:hAnsi="Courier New" w:cs="Courier New"/>
              </w:rPr>
              <w:br/>
              <w:t xml:space="preserve">минеральные вещества,  </w:t>
            </w:r>
            <w:r>
              <w:rPr>
                <w:rFonts w:ascii="Courier New" w:hAnsi="Courier New" w:cs="Courier New"/>
              </w:rPr>
              <w:br/>
              <w:t xml:space="preserve">витамины в комбинации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для       </w:t>
            </w:r>
            <w:r>
              <w:rPr>
                <w:rFonts w:ascii="Courier New" w:hAnsi="Courier New" w:cs="Courier New"/>
              </w:rPr>
              <w:br/>
              <w:t xml:space="preserve">парентерального        </w:t>
            </w:r>
            <w:r>
              <w:rPr>
                <w:rFonts w:ascii="Courier New" w:hAnsi="Courier New" w:cs="Courier New"/>
              </w:rPr>
              <w:br/>
              <w:t xml:space="preserve">питания + Прочие       </w:t>
            </w:r>
            <w:r>
              <w:rPr>
                <w:rFonts w:ascii="Courier New" w:hAnsi="Courier New" w:cs="Courier New"/>
              </w:rPr>
              <w:br/>
              <w:t xml:space="preserve">препараты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   </w:t>
            </w: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V07AB 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Растворители и         </w:t>
            </w:r>
            <w:r>
              <w:rPr>
                <w:rFonts w:ascii="Courier New" w:hAnsi="Courier New" w:cs="Courier New"/>
              </w:rPr>
              <w:br/>
              <w:t xml:space="preserve">разбавители, включая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ирригационные растворы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1BBE">
        <w:trPr>
          <w:tblCellSpacing w:w="5" w:type="nil"/>
        </w:trPr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Вода для инъекций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5E1BBE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  </w:t>
            </w:r>
          </w:p>
        </w:tc>
      </w:tr>
    </w:tbl>
    <w:p w:rsidR="005E1BBE" w:rsidRDefault="005E1BBE">
      <w:pPr>
        <w:pStyle w:val="ConsPlusNormal"/>
        <w:ind w:firstLine="540"/>
        <w:jc w:val="both"/>
        <w:sectPr w:rsidR="005E1BBE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5E1BBE" w:rsidRDefault="005E1BBE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27"/>
        <w:gridCol w:w="3861"/>
        <w:gridCol w:w="1521"/>
      </w:tblGrid>
      <w:tr w:rsidR="005E1BBE">
        <w:trPr>
          <w:trHeight w:val="400"/>
          <w:tblCellSpacing w:w="5" w:type="nil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Наименование вида лечебного </w:t>
            </w:r>
            <w:r>
              <w:rPr>
                <w:rFonts w:ascii="Courier New" w:hAnsi="Courier New" w:cs="Courier New"/>
              </w:rPr>
              <w:br/>
              <w:t xml:space="preserve">           питания          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показатель частоты </w:t>
            </w:r>
            <w:r>
              <w:rPr>
                <w:rFonts w:ascii="Courier New" w:hAnsi="Courier New" w:cs="Courier New"/>
              </w:rPr>
              <w:br/>
              <w:t xml:space="preserve">        предоставления     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Количество </w:t>
            </w:r>
          </w:p>
        </w:tc>
      </w:tr>
      <w:tr w:rsidR="005E1BBE">
        <w:trPr>
          <w:trHeight w:val="400"/>
          <w:tblCellSpacing w:w="5" w:type="nil"/>
        </w:trPr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Основной вариант стандартной </w:t>
            </w:r>
            <w:r>
              <w:rPr>
                <w:rFonts w:ascii="Courier New" w:hAnsi="Courier New" w:cs="Courier New"/>
              </w:rPr>
              <w:br/>
              <w:t xml:space="preserve">диеты                        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   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BBE" w:rsidRDefault="0078782C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         </w:t>
            </w:r>
          </w:p>
        </w:tc>
      </w:tr>
    </w:tbl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ind w:firstLine="540"/>
        <w:jc w:val="both"/>
      </w:pPr>
      <w:r>
        <w:t>--------------------------------</w:t>
      </w:r>
    </w:p>
    <w:p w:rsidR="005E1BBE" w:rsidRDefault="0078782C">
      <w:pPr>
        <w:pStyle w:val="ConsPlusNormal"/>
        <w:ind w:firstLine="540"/>
        <w:jc w:val="both"/>
      </w:pPr>
      <w:bookmarkStart w:id="2" w:name="Par762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5E1BBE" w:rsidRDefault="0078782C">
      <w:pPr>
        <w:pStyle w:val="ConsPlusNormal"/>
        <w:ind w:firstLine="540"/>
        <w:jc w:val="both"/>
      </w:pPr>
      <w:bookmarkStart w:id="3" w:name="Par763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5E1BBE" w:rsidRDefault="0078782C">
      <w:pPr>
        <w:pStyle w:val="ConsPlusNormal"/>
        <w:ind w:firstLine="540"/>
        <w:jc w:val="both"/>
      </w:pPr>
      <w:bookmarkStart w:id="4" w:name="Par764"/>
      <w:bookmarkEnd w:id="4"/>
      <w:r>
        <w:t>&lt;***&gt; Средняя суточная доза.</w:t>
      </w:r>
    </w:p>
    <w:p w:rsidR="005E1BBE" w:rsidRDefault="0078782C">
      <w:pPr>
        <w:pStyle w:val="ConsPlusNormal"/>
        <w:ind w:firstLine="540"/>
        <w:jc w:val="both"/>
      </w:pPr>
      <w:bookmarkStart w:id="5" w:name="Par765"/>
      <w:bookmarkEnd w:id="5"/>
      <w:r>
        <w:t>&lt;****&gt; Средняя курсовая доза.</w:t>
      </w:r>
    </w:p>
    <w:p w:rsidR="005E1BBE" w:rsidRDefault="005E1BBE">
      <w:pPr>
        <w:pStyle w:val="ConsPlusNormal"/>
        <w:ind w:firstLine="540"/>
        <w:jc w:val="both"/>
      </w:pPr>
    </w:p>
    <w:p w:rsidR="005E1BBE" w:rsidRDefault="0078782C">
      <w:pPr>
        <w:pStyle w:val="ConsPlusNormal"/>
        <w:ind w:firstLine="540"/>
        <w:jc w:val="both"/>
      </w:pPr>
      <w:r>
        <w:t>Примечания:</w:t>
      </w:r>
    </w:p>
    <w:p w:rsidR="005E1BBE" w:rsidRDefault="0078782C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E1BBE" w:rsidRDefault="005E1BB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5E1BBE" w:rsidRDefault="0078782C">
      <w:pPr>
        <w:pStyle w:val="ConsPlusNormal"/>
        <w:ind w:firstLine="540"/>
        <w:jc w:val="both"/>
      </w:pPr>
      <w:r>
        <w:t>КонсультантПлюс: примечание.</w:t>
      </w:r>
    </w:p>
    <w:p w:rsidR="005E1BBE" w:rsidRDefault="0078782C">
      <w:pPr>
        <w:pStyle w:val="ConsPlusNormal"/>
        <w:ind w:firstLine="540"/>
        <w:jc w:val="both"/>
      </w:pPr>
      <w:r>
        <w:t>В официальном тексте документа, видимо, допущена опечатка: имеется в виду часть 5 статьи 37, а не пункт 5 части 1 статьи 37.</w:t>
      </w:r>
    </w:p>
    <w:p w:rsidR="005E1BBE" w:rsidRDefault="005E1BB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5E1BBE" w:rsidRDefault="0078782C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части 1 статьи 37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5E1BBE" w:rsidRDefault="005E1BBE">
      <w:pPr>
        <w:pStyle w:val="ConsPlusNormal"/>
        <w:ind w:firstLine="540"/>
        <w:jc w:val="both"/>
      </w:pPr>
    </w:p>
    <w:p w:rsidR="005E1BBE" w:rsidRDefault="005E1BBE">
      <w:pPr>
        <w:pStyle w:val="ConsPlusNormal"/>
        <w:ind w:firstLine="540"/>
        <w:jc w:val="both"/>
      </w:pPr>
    </w:p>
    <w:p w:rsidR="0078782C" w:rsidRDefault="0078782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78782C" w:rsidSect="005E1BBE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A34" w:rsidRDefault="00B43A34">
      <w:pPr>
        <w:spacing w:after="0" w:line="240" w:lineRule="auto"/>
      </w:pPr>
      <w:r>
        <w:separator/>
      </w:r>
    </w:p>
  </w:endnote>
  <w:endnote w:type="continuationSeparator" w:id="1">
    <w:p w:rsidR="00B43A34" w:rsidRDefault="00B4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BE" w:rsidRDefault="0078782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5E1BBE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5E1B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78782C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5E1B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02EAF">
            <w:rPr>
              <w:rFonts w:ascii="Tahoma" w:hAnsi="Tahoma" w:cs="Tahoma"/>
              <w:noProof/>
              <w:sz w:val="20"/>
              <w:szCs w:val="20"/>
            </w:rPr>
            <w:t>7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5E1B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02EAF">
            <w:rPr>
              <w:rFonts w:ascii="Tahoma" w:hAnsi="Tahoma" w:cs="Tahoma"/>
              <w:noProof/>
              <w:sz w:val="20"/>
              <w:szCs w:val="20"/>
            </w:rPr>
            <w:t>9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BE" w:rsidRDefault="0078782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5E1BBE">
      <w:trPr>
        <w:trHeight w:hRule="exact" w:val="119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5E1B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78782C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5E1B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02EAF">
            <w:rPr>
              <w:rFonts w:ascii="Tahoma" w:hAnsi="Tahoma" w:cs="Tahoma"/>
              <w:noProof/>
              <w:sz w:val="20"/>
              <w:szCs w:val="20"/>
            </w:rPr>
            <w:t>13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5E1B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02EAF">
            <w:rPr>
              <w:rFonts w:ascii="Tahoma" w:hAnsi="Tahoma" w:cs="Tahoma"/>
              <w:noProof/>
              <w:sz w:val="20"/>
              <w:szCs w:val="20"/>
            </w:rPr>
            <w:t>13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BE" w:rsidRDefault="0078782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5E1BBE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5E1B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78782C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5E1B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02EAF">
            <w:rPr>
              <w:rFonts w:ascii="Tahoma" w:hAnsi="Tahoma" w:cs="Tahoma"/>
              <w:noProof/>
              <w:sz w:val="20"/>
              <w:szCs w:val="20"/>
            </w:rPr>
            <w:t>14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5E1BB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902EAF">
            <w:rPr>
              <w:rFonts w:ascii="Tahoma" w:hAnsi="Tahoma" w:cs="Tahoma"/>
              <w:noProof/>
              <w:sz w:val="20"/>
              <w:szCs w:val="20"/>
            </w:rPr>
            <w:t>14</w:t>
          </w:r>
          <w:r w:rsidR="005E1BBE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A34" w:rsidRDefault="00B43A34">
      <w:pPr>
        <w:spacing w:after="0" w:line="240" w:lineRule="auto"/>
      </w:pPr>
      <w:r>
        <w:separator/>
      </w:r>
    </w:p>
  </w:footnote>
  <w:footnote w:type="continuationSeparator" w:id="1">
    <w:p w:rsidR="00B43A34" w:rsidRDefault="00B4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5E1BB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амнестическом синдроме,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5E1B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5E1BBE" w:rsidRDefault="005E1B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5E1BBE" w:rsidRDefault="005E1BB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5E1BBE" w:rsidRDefault="0078782C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5E1BBE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амнестическом синдроме,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5E1B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5E1BBE" w:rsidRDefault="005E1B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5E1BBE" w:rsidRDefault="005E1BB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5E1BBE" w:rsidRDefault="0078782C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5E1BB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127н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амнестическом синдроме,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5E1B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5E1BBE" w:rsidRDefault="005E1BB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E1BBE" w:rsidRDefault="0078782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5E1BBE" w:rsidRDefault="005E1BB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5E1BBE" w:rsidRDefault="0078782C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186950"/>
    <w:rsid w:val="00186950"/>
    <w:rsid w:val="005E1BBE"/>
    <w:rsid w:val="0078782C"/>
    <w:rsid w:val="00902EAF"/>
    <w:rsid w:val="00B43A34"/>
    <w:rsid w:val="00C6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B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E1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E1B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4531</Words>
  <Characters>25832</Characters>
  <Application>Microsoft Office Word</Application>
  <DocSecurity>2</DocSecurity>
  <Lines>215</Lines>
  <Paragraphs>60</Paragraphs>
  <ScaleCrop>false</ScaleCrop>
  <Company/>
  <LinksUpToDate>false</LinksUpToDate>
  <CharactersWithSpaces>30303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127н"Об утверждении стандарта специализированной медицинской помощи при амнестическом синдроме, вызванном употреблением психоактивных веществ"(Зарегистрировано в Минюсте России 13.12.2012 N 26107)</dc:title>
  <dc:creator>ConsultantPlus</dc:creator>
  <cp:lastModifiedBy>eva</cp:lastModifiedBy>
  <cp:revision>2</cp:revision>
  <dcterms:created xsi:type="dcterms:W3CDTF">2013-01-23T05:06:00Z</dcterms:created>
  <dcterms:modified xsi:type="dcterms:W3CDTF">2013-01-23T05:06:00Z</dcterms:modified>
</cp:coreProperties>
</file>